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38F7" w:rsidRDefault="0058172C" w:rsidP="001B7DD0">
      <w:pPr>
        <w:spacing w:line="480" w:lineRule="auto"/>
      </w:pPr>
      <w:r>
        <w:t>Name</w:t>
      </w:r>
    </w:p>
    <w:p w:rsidR="00C338F7" w:rsidRDefault="0058172C" w:rsidP="001B7DD0">
      <w:pPr>
        <w:spacing w:line="480" w:lineRule="auto"/>
      </w:pPr>
      <w:r>
        <w:t>Tutor</w:t>
      </w:r>
    </w:p>
    <w:p w:rsidR="00C338F7" w:rsidRDefault="0058172C" w:rsidP="001B7DD0">
      <w:pPr>
        <w:spacing w:line="480" w:lineRule="auto"/>
      </w:pPr>
      <w:r>
        <w:t>Course</w:t>
      </w:r>
    </w:p>
    <w:p w:rsidR="00C338F7" w:rsidRDefault="0058172C" w:rsidP="001B7DD0">
      <w:pPr>
        <w:spacing w:line="480" w:lineRule="auto"/>
      </w:pPr>
      <w:r>
        <w:t>Date</w:t>
      </w:r>
    </w:p>
    <w:p w:rsidR="00F50132" w:rsidRDefault="0058172C" w:rsidP="001B7DD0">
      <w:pPr>
        <w:spacing w:line="480" w:lineRule="auto"/>
        <w:jc w:val="center"/>
      </w:pPr>
      <w:r>
        <w:t>A Doll’s House</w:t>
      </w:r>
    </w:p>
    <w:p w:rsidR="00C41C74" w:rsidRDefault="0058172C" w:rsidP="001B7DD0">
      <w:pPr>
        <w:spacing w:line="480" w:lineRule="auto"/>
        <w:ind w:firstLine="720"/>
      </w:pPr>
      <w:r>
        <w:t xml:space="preserve">The play of choice is </w:t>
      </w:r>
      <w:r w:rsidR="00F50132">
        <w:t xml:space="preserve">Henrik Ibsen’s </w:t>
      </w:r>
      <w:r w:rsidRPr="002F53AB">
        <w:rPr>
          <w:i/>
        </w:rPr>
        <w:t>A</w:t>
      </w:r>
      <w:r w:rsidR="00F50132" w:rsidRPr="00F50132">
        <w:rPr>
          <w:i/>
        </w:rPr>
        <w:t>Doll’s House</w:t>
      </w:r>
      <w:r w:rsidR="00150EAA">
        <w:rPr>
          <w:i/>
        </w:rPr>
        <w:t xml:space="preserve">. </w:t>
      </w:r>
      <w:r w:rsidR="00150EAA">
        <w:t xml:space="preserve">The play is set in Ibsen’s native country, Norway. The period of the setting </w:t>
      </w:r>
      <w:r w:rsidR="00812C32">
        <w:t>coincides</w:t>
      </w:r>
      <w:r w:rsidR="00150EAA">
        <w:t xml:space="preserve"> with the Victorian era</w:t>
      </w:r>
      <w:r w:rsidR="007234FE">
        <w:t>, 1879,</w:t>
      </w:r>
      <w:r w:rsidR="00150EAA">
        <w:t xml:space="preserve"> when the society was largely </w:t>
      </w:r>
      <w:r w:rsidR="00812C32">
        <w:t>p</w:t>
      </w:r>
      <w:r w:rsidR="00150EAA">
        <w:t>atriarchal</w:t>
      </w:r>
      <w:r w:rsidR="00812C32">
        <w:t>. In that period, gender roles were completely clear-cut with women expected to be housekeepers</w:t>
      </w:r>
      <w:r>
        <w:t xml:space="preserve"> and </w:t>
      </w:r>
      <w:r w:rsidR="00812C32">
        <w:t>submit</w:t>
      </w:r>
      <w:r>
        <w:t>ting</w:t>
      </w:r>
      <w:r w:rsidR="00812C32">
        <w:t xml:space="preserve"> to their husbands. In short, women were reduc</w:t>
      </w:r>
      <w:r w:rsidR="007234FE">
        <w:t xml:space="preserve">ed to raising buoyant kids and ensuring their husbands were content. On the other side, </w:t>
      </w:r>
      <w:r w:rsidR="00812C32">
        <w:t>men</w:t>
      </w:r>
      <w:r w:rsidR="00A2132E">
        <w:t xml:space="preserve"> provided daily bread. Any </w:t>
      </w:r>
      <w:r w:rsidR="00812C32">
        <w:t>individual who challenged these deeply embedded values faced the consequences. In a broader context, it is the charged atmosphere of</w:t>
      </w:r>
      <w:r w:rsidR="00A2132E">
        <w:t xml:space="preserve"> the Victorian era that places </w:t>
      </w:r>
      <w:r w:rsidR="00A2132E" w:rsidRPr="00A2132E">
        <w:rPr>
          <w:i/>
        </w:rPr>
        <w:t xml:space="preserve">A </w:t>
      </w:r>
      <w:r w:rsidR="00812C32" w:rsidRPr="00A2132E">
        <w:rPr>
          <w:i/>
        </w:rPr>
        <w:t>Doll’s House</w:t>
      </w:r>
      <w:r w:rsidR="00812C32">
        <w:t xml:space="preserve"> play as an exciting play even in the contemporary day. </w:t>
      </w:r>
      <w:r>
        <w:t>I</w:t>
      </w:r>
      <w:r w:rsidR="007234FE">
        <w:t xml:space="preserve">t is the imposition of the harsh Victorian values that ignites the apparent conflicts in the play. This paper analyzes the play Doll’s house as well as its </w:t>
      </w:r>
      <w:r>
        <w:t xml:space="preserve">two </w:t>
      </w:r>
      <w:r w:rsidR="007234FE">
        <w:t>film</w:t>
      </w:r>
      <w:r>
        <w:t>s</w:t>
      </w:r>
      <w:r w:rsidR="007234FE">
        <w:t xml:space="preserve"> adaptation.</w:t>
      </w:r>
      <w:r w:rsidR="00A2132E">
        <w:t xml:space="preserve"> Specifically, the paper will focus on cinematic scenic similarities and differences. </w:t>
      </w:r>
    </w:p>
    <w:p w:rsidR="007234FE" w:rsidRDefault="0058172C" w:rsidP="001B7DD0">
      <w:pPr>
        <w:spacing w:line="480" w:lineRule="auto"/>
        <w:ind w:firstLine="720"/>
      </w:pPr>
      <w:r>
        <w:t xml:space="preserve">The play, A Doll's House by Ibsen, was depicted in two films: Patrick Garland's 1973 film, a version of </w:t>
      </w:r>
      <w:r w:rsidRPr="00A2132E">
        <w:rPr>
          <w:i/>
        </w:rPr>
        <w:t>A Doll’s House</w:t>
      </w:r>
      <w:r>
        <w:t xml:space="preserve"> and Joseph Losey’s 1973 film, </w:t>
      </w:r>
      <w:r w:rsidRPr="007234FE">
        <w:rPr>
          <w:i/>
        </w:rPr>
        <w:t>A Doll’s House</w:t>
      </w:r>
      <w:r>
        <w:t>.</w:t>
      </w:r>
      <w:r w:rsidR="00A2132E">
        <w:t xml:space="preserve"> The representation of the two adaptations of the original play depicted the characters in the Ibsen’s play. Additionally, the setting of the play seems identical to that of the original play. </w:t>
      </w:r>
    </w:p>
    <w:p w:rsidR="00C338F7" w:rsidRDefault="0058172C" w:rsidP="001B7DD0">
      <w:pPr>
        <w:spacing w:line="480" w:lineRule="auto"/>
        <w:ind w:firstLine="720"/>
      </w:pPr>
      <w:r>
        <w:lastRenderedPageBreak/>
        <w:t>The original play commences in a Christmas Eve, where Nora</w:t>
      </w:r>
      <w:r w:rsidR="00C87715">
        <w:t xml:space="preserve"> Helmer, Torvald Helmer’s wife, enters a living room carrying packages</w:t>
      </w:r>
      <w:r w:rsidR="002F53AB">
        <w:t xml:space="preserve"> (Ibsen 2)</w:t>
      </w:r>
      <w:r w:rsidR="00C87715">
        <w:t xml:space="preserve">. </w:t>
      </w:r>
      <w:r w:rsidR="00452964">
        <w:t>While her husband receives her affectionately, he scolds her for spending extravagantly on Christmas gifts</w:t>
      </w:r>
      <w:r w:rsidR="002F53AB">
        <w:t xml:space="preserve"> (Ibsen 2)</w:t>
      </w:r>
      <w:r w:rsidR="00452964">
        <w:t xml:space="preserve">. The entire play takes place in </w:t>
      </w:r>
      <w:r w:rsidR="002F53AB">
        <w:t>the Helmer’s family</w:t>
      </w:r>
      <w:r w:rsidR="00452964">
        <w:t xml:space="preserve"> house, and the story mainly surrounds this married couple.  </w:t>
      </w:r>
    </w:p>
    <w:p w:rsidR="006579D4" w:rsidRDefault="0058172C" w:rsidP="001B7DD0">
      <w:pPr>
        <w:spacing w:line="480" w:lineRule="auto"/>
        <w:ind w:firstLine="720"/>
      </w:pPr>
      <w:r>
        <w:t>Like artists of masterpieces</w:t>
      </w:r>
      <w:r w:rsidR="00452964">
        <w:t>, Ibsen incorporates a plethora of elements to make the play as exciting as possible. The author introduces the initial situation, then incorporating a good mix of other elements such as conflict, denouement</w:t>
      </w:r>
      <w:r>
        <w:t xml:space="preserve">, complication, </w:t>
      </w:r>
      <w:r w:rsidR="00452964">
        <w:t xml:space="preserve">suspense, and sums it with the best conclusion. </w:t>
      </w:r>
    </w:p>
    <w:p w:rsidR="00A2132E" w:rsidRDefault="0058172C" w:rsidP="001B7DD0">
      <w:pPr>
        <w:spacing w:line="480" w:lineRule="auto"/>
        <w:ind w:firstLine="720"/>
      </w:pPr>
      <w:r>
        <w:t>In the start, the coupl</w:t>
      </w:r>
      <w:r w:rsidR="00D41E2E">
        <w:t>e seems to be very happy when T</w:t>
      </w:r>
      <w:r>
        <w:t>o</w:t>
      </w:r>
      <w:r w:rsidR="00D41E2E">
        <w:t>r</w:t>
      </w:r>
      <w:r>
        <w:t xml:space="preserve">vald gets his new job of a bank </w:t>
      </w:r>
      <w:r w:rsidR="006579D4">
        <w:t>manager.</w:t>
      </w:r>
      <w:r w:rsidR="00D41E2E">
        <w:t>Implying</w:t>
      </w:r>
      <w:r>
        <w:t xml:space="preserve"> the problem of money would have declined in the house. The author introduces Christine Linde, Nora’s old friend, whose </w:t>
      </w:r>
      <w:r w:rsidR="00D41E2E">
        <w:t>life is a bit hard on her and T</w:t>
      </w:r>
      <w:r>
        <w:t>o</w:t>
      </w:r>
      <w:r w:rsidR="00D41E2E">
        <w:t>r</w:t>
      </w:r>
      <w:r>
        <w:t>vald offers her a job</w:t>
      </w:r>
      <w:r w:rsidR="00A2393E">
        <w:t xml:space="preserve"> (Ibsen 8)</w:t>
      </w:r>
      <w:r>
        <w:t xml:space="preserve">. Besides, Ibsen introduces Dr Rank, one of the Helmer’s family </w:t>
      </w:r>
      <w:r w:rsidR="001B7DD0">
        <w:t>members</w:t>
      </w:r>
      <w:r>
        <w:t xml:space="preserve">, who is almost dying having being diagnosed with tuberculosis. </w:t>
      </w:r>
    </w:p>
    <w:p w:rsidR="006579D4" w:rsidRDefault="0058172C" w:rsidP="001B7DD0">
      <w:pPr>
        <w:spacing w:line="480" w:lineRule="auto"/>
        <w:ind w:firstLine="720"/>
      </w:pPr>
      <w:r>
        <w:t xml:space="preserve">In relation to conflict, Ibsen places Nora at the center of conflict when Krogstad is introduced in the play. Nora had borrowed money from Krogstad and as a form of </w:t>
      </w:r>
      <w:r w:rsidR="00D41E2E">
        <w:t>bargain</w:t>
      </w:r>
      <w:r>
        <w:t xml:space="preserve"> forged a signature. As the bank manager, Nora’s husband want</w:t>
      </w:r>
      <w:r w:rsidR="00D41E2E">
        <w:t>s to fire K</w:t>
      </w:r>
      <w:r>
        <w:t>rogstad who threatens Nora that if he is fired, he will have to disclose her secret</w:t>
      </w:r>
      <w:r w:rsidR="00A2393E">
        <w:t xml:space="preserve"> (Ibsen 11)</w:t>
      </w:r>
      <w:r>
        <w:t>. As a r</w:t>
      </w:r>
      <w:r w:rsidR="00D41E2E">
        <w:t>esult, Nora has to plead with T</w:t>
      </w:r>
      <w:r>
        <w:t>o</w:t>
      </w:r>
      <w:r w:rsidR="00D41E2E">
        <w:t>r</w:t>
      </w:r>
      <w:r>
        <w:t>vald not to fire Krogstad. Concerning complication, Nora's pleading with her h</w:t>
      </w:r>
      <w:r w:rsidR="00D41E2E">
        <w:t>usband does not pay off, and Tor</w:t>
      </w:r>
      <w:r>
        <w:t>vald fires Krogstad. As he warned, Krogstad writes everything in the letter and drops it in the mailbox. Nora decides to talk with her friend Christine to talk to Krogstad on her behalf.</w:t>
      </w:r>
    </w:p>
    <w:p w:rsidR="006579D4" w:rsidRDefault="0058172C" w:rsidP="001B7DD0">
      <w:pPr>
        <w:spacing w:line="480" w:lineRule="auto"/>
        <w:ind w:firstLine="720"/>
      </w:pPr>
      <w:r>
        <w:lastRenderedPageBreak/>
        <w:t xml:space="preserve">The </w:t>
      </w:r>
      <w:r w:rsidR="00D41E2E">
        <w:t xml:space="preserve">play </w:t>
      </w:r>
      <w:r>
        <w:t>climaxes with Nora dancing the tarantella to stall her husband from opening the letter</w:t>
      </w:r>
      <w:r w:rsidR="00D41E2E">
        <w:t>. The play presents a significant amount of suspense. Christine is able to convince Krogstald about not blackmailing Nora and Torvald, and he agrees. However, Christine insists that he must let Torvald read the letter because she believes that the Helmer household is embedded in lies. Moreover, Dr Rank breaks the suspense and tells everybody that he is dying.</w:t>
      </w:r>
    </w:p>
    <w:p w:rsidR="00352F63" w:rsidRDefault="00D41E2E" w:rsidP="00295447">
      <w:pPr>
        <w:spacing w:line="480" w:lineRule="auto"/>
        <w:ind w:firstLine="720"/>
      </w:pPr>
      <w:r>
        <w:t xml:space="preserve">Regarding denouement, when </w:t>
      </w:r>
      <w:r w:rsidR="001B7DD0">
        <w:t>Torvald</w:t>
      </w:r>
      <w:r>
        <w:t xml:space="preserve"> learns about his wife's secret, he yells at her madly, saying all kind of abusive words, but later forgives her. However, Nora does not excuse her </w:t>
      </w:r>
      <w:r w:rsidR="00A2393E">
        <w:t>husband;</w:t>
      </w:r>
      <w:r>
        <w:t xml:space="preserve"> she tells him that they are no longer a couple and never were. The denouement is evident when she asserts that in the marriage, she had been his doll and not a wife. </w:t>
      </w:r>
      <w:r w:rsidR="00352F63">
        <w:t xml:space="preserve">Ibsen’s play culminates with Torvald alone in the room. He probably now understands what the most significant thing of his life is. The play ends with the banging of the door, Nora leaving the house, perhaps as a sign f a terminated marriage. The end of the play leaves the reader in suspense, wondering about the children or the family. </w:t>
      </w:r>
      <w:r w:rsidR="0058172C">
        <w:t>The cast in the movie is identical to the Ibsen’s play with the characters taking the same roles. Mo</w:t>
      </w:r>
      <w:r w:rsidR="005C27C9">
        <w:t>r</w:t>
      </w:r>
      <w:r w:rsidR="0058172C">
        <w:t>eover, the setting of the films fitted the description of Ibsen's play. However,</w:t>
      </w:r>
      <w:r w:rsidR="005C27C9">
        <w:t xml:space="preserve"> there were two notable differences between the original play and the two film adaptations. </w:t>
      </w:r>
    </w:p>
    <w:p w:rsidR="00352F63" w:rsidRDefault="0058172C" w:rsidP="001B7DD0">
      <w:pPr>
        <w:spacing w:line="480" w:lineRule="auto"/>
        <w:ind w:firstLine="720"/>
      </w:pPr>
      <w:r>
        <w:t xml:space="preserve">First, </w:t>
      </w:r>
      <w:r w:rsidR="0012094A">
        <w:t xml:space="preserve">the cast between Nora and Dr Rank appeared different in the two films, especially when Dr Rank confessed to loving Nora. Ibsen's play did not depict close intimacy between Nora and Dr Rank. In Garland's adaptation, the play portrayed this scene so awkward, showing close chemistry between Nora and Rank. In a grand sense, Losey’s adaptation followed the Ibsen's play closely since it is apparent that Dr Rank confessed his love more subtly.  </w:t>
      </w:r>
    </w:p>
    <w:p w:rsidR="00244D8B" w:rsidRDefault="0058172C" w:rsidP="001B7DD0">
      <w:pPr>
        <w:spacing w:line="480" w:lineRule="auto"/>
        <w:ind w:firstLine="720"/>
      </w:pPr>
      <w:r>
        <w:lastRenderedPageBreak/>
        <w:t>Second, the ending of the film depicted a notable difference t</w:t>
      </w:r>
      <w:r w:rsidR="00AC5DAA">
        <w:t xml:space="preserve">o that of the play. In Ibsen’s play, </w:t>
      </w:r>
      <w:r w:rsidR="006B4033">
        <w:t>after</w:t>
      </w:r>
      <w:r w:rsidR="00AC5DAA">
        <w:t xml:space="preserve"> Nora’s deception was disclosed to her husband, she expounds all her actions as well as why she must leave the house. In Losey’s adaptation, Nora did not explain any reason for leaving, and the film shows her leaving soon after Trovald scolds her. In a greater sense, Garland's adaptation followed Ibsen's play more carefully. After Torvald yells on his wife and then consoled her by telling her that everything will be fine, Nora sits down for a more civilized talk. Garland’s presentation of this scene clearly shows the audience why Nora left the house. In fact, it is this scene that brings clearly why the film is called A Doll’s House. </w:t>
      </w:r>
    </w:p>
    <w:p w:rsidR="0012094A" w:rsidRDefault="005C27C9" w:rsidP="001B7DD0">
      <w:pPr>
        <w:spacing w:line="480" w:lineRule="auto"/>
        <w:ind w:firstLine="720"/>
      </w:pPr>
      <w:r>
        <w:t xml:space="preserve">The two films, however, presented a more female character than in the Ibsen's play. In the film, the audience can attest that Nora is a moral mother since she </w:t>
      </w:r>
      <w:r w:rsidR="006B4033">
        <w:t xml:space="preserve">expresses her love to her children before leaving. This is what evokes emotion to the audience, unlike in the play where Nora there is no recorded part of Nora saying goodbye to her children, a rare case of in women. The reason for the changes or clarifications in the films adaptations trickles down to the fact that while Ibsen's aim was to unmask the oppressions of women in the era of the setting, there were obvious imperfections as a woman and as a mother. Thus, Garland's and Losey’s adaptations can be argued as a more sensible depiction of the breakage of the marriage based on the oppression of the women. </w:t>
      </w:r>
    </w:p>
    <w:p w:rsidR="00AC5DAA" w:rsidRDefault="0058172C" w:rsidP="001B7DD0">
      <w:pPr>
        <w:spacing w:line="480" w:lineRule="auto"/>
        <w:ind w:firstLine="720"/>
      </w:pPr>
      <w:r>
        <w:t xml:space="preserve">In conclusion, the underlying theme of </w:t>
      </w:r>
      <w:r w:rsidR="005C27C9">
        <w:t xml:space="preserve">Ibsen’s </w:t>
      </w:r>
      <w:r w:rsidRPr="00AF0B20">
        <w:rPr>
          <w:i/>
        </w:rPr>
        <w:t>A Doll’s House</w:t>
      </w:r>
      <w:r>
        <w:t xml:space="preserve"> is </w:t>
      </w:r>
      <w:r w:rsidR="005C27C9">
        <w:t xml:space="preserve">the suppressive treatment of the women in the Victorian era by demonstrating that marriage was a commitment that hurt involved women. The film adaptations of the play were also augmented to perpetuate the same message that </w:t>
      </w:r>
      <w:r w:rsidR="006B4033">
        <w:t xml:space="preserve">marriages in the era of the setting of the film werebrutal to women. While Ibsen is able to unmask the brutality, the play presents a weakness by revealing some faults in women. To correct this, the film adaptations, mould the character of Nora to make </w:t>
      </w:r>
      <w:r w:rsidR="00C338F7">
        <w:t xml:space="preserve">more of </w:t>
      </w:r>
      <w:r w:rsidR="00C338F7">
        <w:lastRenderedPageBreak/>
        <w:t>a</w:t>
      </w:r>
      <w:r w:rsidR="006B4033">
        <w:t xml:space="preserve">loving woman </w:t>
      </w:r>
      <w:r w:rsidR="00C338F7">
        <w:t xml:space="preserve">than displayed in the play. Therefore, the film adaptations of the play </w:t>
      </w:r>
      <w:r w:rsidR="00C338F7" w:rsidRPr="00AF0B20">
        <w:rPr>
          <w:i/>
        </w:rPr>
        <w:t xml:space="preserve">A Doll’s House </w:t>
      </w:r>
      <w:r w:rsidR="00C338F7">
        <w:t xml:space="preserve">correct the weakness that is in Ibsen’s play to better represent the brutality of women in marriages during the Victorian era. </w:t>
      </w:r>
    </w:p>
    <w:p w:rsidR="00A2393E" w:rsidRDefault="00A2393E" w:rsidP="001B7DD0">
      <w:pPr>
        <w:spacing w:line="480" w:lineRule="auto"/>
        <w:jc w:val="center"/>
      </w:pPr>
    </w:p>
    <w:p w:rsidR="00A2393E" w:rsidRDefault="00A2393E" w:rsidP="001B7DD0">
      <w:pPr>
        <w:spacing w:line="480" w:lineRule="auto"/>
        <w:jc w:val="center"/>
      </w:pPr>
    </w:p>
    <w:p w:rsidR="00A2393E" w:rsidRDefault="00A2393E" w:rsidP="001B7DD0">
      <w:pPr>
        <w:spacing w:line="480" w:lineRule="auto"/>
        <w:jc w:val="center"/>
      </w:pPr>
    </w:p>
    <w:p w:rsidR="00A2393E" w:rsidRDefault="00A2393E" w:rsidP="001B7DD0">
      <w:pPr>
        <w:spacing w:line="480" w:lineRule="auto"/>
        <w:jc w:val="center"/>
      </w:pPr>
    </w:p>
    <w:p w:rsidR="00A2393E" w:rsidRDefault="00A2393E" w:rsidP="001B7DD0">
      <w:pPr>
        <w:spacing w:line="480" w:lineRule="auto"/>
        <w:jc w:val="center"/>
      </w:pPr>
    </w:p>
    <w:p w:rsidR="00A2393E" w:rsidRDefault="00A2393E" w:rsidP="001B7DD0">
      <w:pPr>
        <w:spacing w:line="480" w:lineRule="auto"/>
        <w:jc w:val="center"/>
      </w:pPr>
    </w:p>
    <w:p w:rsidR="00A2393E" w:rsidRDefault="00A2393E" w:rsidP="001B7DD0">
      <w:pPr>
        <w:spacing w:line="480" w:lineRule="auto"/>
        <w:jc w:val="center"/>
      </w:pPr>
    </w:p>
    <w:p w:rsidR="00A2393E" w:rsidRDefault="00A2393E" w:rsidP="001B7DD0">
      <w:pPr>
        <w:spacing w:line="480" w:lineRule="auto"/>
        <w:jc w:val="center"/>
      </w:pPr>
    </w:p>
    <w:p w:rsidR="00A2393E" w:rsidRDefault="00A2393E" w:rsidP="001B7DD0">
      <w:pPr>
        <w:spacing w:line="480" w:lineRule="auto"/>
        <w:jc w:val="center"/>
      </w:pPr>
    </w:p>
    <w:p w:rsidR="00A2393E" w:rsidRDefault="00A2393E" w:rsidP="001B7DD0">
      <w:pPr>
        <w:spacing w:line="480" w:lineRule="auto"/>
        <w:jc w:val="center"/>
      </w:pPr>
    </w:p>
    <w:p w:rsidR="00A2393E" w:rsidRDefault="00A2393E" w:rsidP="001B7DD0">
      <w:pPr>
        <w:spacing w:line="480" w:lineRule="auto"/>
        <w:jc w:val="center"/>
      </w:pPr>
    </w:p>
    <w:p w:rsidR="00A2393E" w:rsidRDefault="00A2393E" w:rsidP="001B7DD0">
      <w:pPr>
        <w:spacing w:line="480" w:lineRule="auto"/>
        <w:jc w:val="center"/>
      </w:pPr>
    </w:p>
    <w:p w:rsidR="00A2393E" w:rsidRDefault="00A2393E" w:rsidP="001B7DD0">
      <w:pPr>
        <w:spacing w:line="480" w:lineRule="auto"/>
        <w:jc w:val="center"/>
      </w:pPr>
    </w:p>
    <w:p w:rsidR="00A2393E" w:rsidRDefault="00A2393E" w:rsidP="001B7DD0">
      <w:pPr>
        <w:spacing w:line="480" w:lineRule="auto"/>
        <w:jc w:val="center"/>
      </w:pPr>
    </w:p>
    <w:p w:rsidR="00A2393E" w:rsidRDefault="00A2393E" w:rsidP="001B7DD0">
      <w:pPr>
        <w:spacing w:line="480" w:lineRule="auto"/>
        <w:jc w:val="center"/>
      </w:pPr>
    </w:p>
    <w:p w:rsidR="0012094A" w:rsidRDefault="0058172C" w:rsidP="001B7DD0">
      <w:pPr>
        <w:spacing w:line="480" w:lineRule="auto"/>
        <w:jc w:val="center"/>
      </w:pPr>
      <w:r>
        <w:lastRenderedPageBreak/>
        <w:t>Works Cited</w:t>
      </w:r>
      <w:bookmarkStart w:id="0" w:name="_GoBack"/>
      <w:bookmarkEnd w:id="0"/>
    </w:p>
    <w:p w:rsidR="009E4F2E" w:rsidRPr="00295447" w:rsidRDefault="00A950A0" w:rsidP="009E4F2E">
      <w:pPr>
        <w:pStyle w:val="Bibliography"/>
        <w:spacing w:line="480" w:lineRule="auto"/>
        <w:ind w:left="720" w:hanging="720"/>
        <w:rPr>
          <w:i/>
          <w:noProof/>
        </w:rPr>
      </w:pPr>
      <w:r w:rsidRPr="00295447">
        <w:rPr>
          <w:i/>
        </w:rPr>
        <w:fldChar w:fldCharType="begin"/>
      </w:r>
      <w:r w:rsidR="009E4F2E" w:rsidRPr="00295447">
        <w:rPr>
          <w:i/>
        </w:rPr>
        <w:instrText xml:space="preserve"> BIBLIOGRAPHY  \l 1033 </w:instrText>
      </w:r>
      <w:r w:rsidRPr="00295447">
        <w:rPr>
          <w:i/>
        </w:rPr>
        <w:fldChar w:fldCharType="separate"/>
      </w:r>
      <w:r w:rsidR="009E4F2E" w:rsidRPr="00295447">
        <w:rPr>
          <w:i/>
          <w:noProof/>
        </w:rPr>
        <w:t>A Doll's House based on Henrik Ibsen's Play, A Doll's House. Dir. Patrick. Garland. 1973.</w:t>
      </w:r>
    </w:p>
    <w:p w:rsidR="009E4F2E" w:rsidRPr="00295447" w:rsidRDefault="009E4F2E" w:rsidP="009E4F2E">
      <w:pPr>
        <w:pStyle w:val="Bibliography"/>
        <w:spacing w:line="480" w:lineRule="auto"/>
        <w:ind w:left="720" w:hanging="720"/>
        <w:rPr>
          <w:i/>
          <w:noProof/>
        </w:rPr>
      </w:pPr>
      <w:r w:rsidRPr="00295447">
        <w:rPr>
          <w:i/>
          <w:noProof/>
        </w:rPr>
        <w:t>A Doll's House based on Henrik Ibsen's Play, A Doll's House. Dir. Joseph Losey. 1973.</w:t>
      </w:r>
    </w:p>
    <w:p w:rsidR="009E4F2E" w:rsidRPr="00295447" w:rsidRDefault="009E4F2E" w:rsidP="009E4F2E">
      <w:pPr>
        <w:pStyle w:val="Bibliography"/>
        <w:spacing w:line="480" w:lineRule="auto"/>
        <w:ind w:left="720" w:hanging="720"/>
        <w:rPr>
          <w:i/>
          <w:noProof/>
        </w:rPr>
      </w:pPr>
      <w:r w:rsidRPr="00295447">
        <w:rPr>
          <w:i/>
          <w:noProof/>
        </w:rPr>
        <w:t>Ibsen, Henrik. A Doll's House. Minneapolis: Filiquarin Publishing, 2007.</w:t>
      </w:r>
    </w:p>
    <w:p w:rsidR="002F53AB" w:rsidRDefault="00A950A0" w:rsidP="009E4F2E">
      <w:pPr>
        <w:spacing w:line="480" w:lineRule="auto"/>
        <w:ind w:left="720" w:hanging="720"/>
      </w:pPr>
      <w:r w:rsidRPr="00295447">
        <w:rPr>
          <w:bCs w:val="0"/>
          <w:i/>
          <w:iCs w:val="0"/>
        </w:rPr>
        <w:fldChar w:fldCharType="end"/>
      </w:r>
    </w:p>
    <w:p w:rsidR="00352F63" w:rsidRDefault="00352F63" w:rsidP="001B7DD0">
      <w:pPr>
        <w:spacing w:line="480" w:lineRule="auto"/>
      </w:pPr>
    </w:p>
    <w:p w:rsidR="006579D4" w:rsidRPr="00150EAA" w:rsidRDefault="006579D4" w:rsidP="001B7DD0">
      <w:pPr>
        <w:spacing w:line="480" w:lineRule="auto"/>
      </w:pPr>
    </w:p>
    <w:sectPr w:rsidR="006579D4" w:rsidRPr="00150EAA" w:rsidSect="00CB0EC7">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5436" w:rsidRDefault="00FC5436">
      <w:pPr>
        <w:spacing w:after="0"/>
      </w:pPr>
      <w:r>
        <w:separator/>
      </w:r>
    </w:p>
  </w:endnote>
  <w:endnote w:type="continuationSeparator" w:id="1">
    <w:p w:rsidR="00FC5436" w:rsidRDefault="00FC5436">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5436" w:rsidRDefault="00FC5436">
      <w:pPr>
        <w:spacing w:after="0"/>
      </w:pPr>
      <w:r>
        <w:separator/>
      </w:r>
    </w:p>
  </w:footnote>
  <w:footnote w:type="continuationSeparator" w:id="1">
    <w:p w:rsidR="00FC5436" w:rsidRDefault="00FC5436">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8F7" w:rsidRDefault="0058172C">
    <w:pPr>
      <w:pStyle w:val="Header"/>
      <w:jc w:val="right"/>
    </w:pPr>
    <w:r>
      <w:t xml:space="preserve">Surname </w:t>
    </w:r>
    <w:sdt>
      <w:sdtPr>
        <w:id w:val="7252610"/>
        <w:docPartObj>
          <w:docPartGallery w:val="Page Numbers (Top of Page)"/>
          <w:docPartUnique/>
        </w:docPartObj>
      </w:sdtPr>
      <w:sdtContent>
        <w:r w:rsidR="00A950A0">
          <w:fldChar w:fldCharType="begin"/>
        </w:r>
        <w:r>
          <w:instrText xml:space="preserve"> PAGE   \* MERGEFORMAT </w:instrText>
        </w:r>
        <w:r w:rsidR="00A950A0">
          <w:fldChar w:fldCharType="separate"/>
        </w:r>
        <w:r w:rsidR="00295447">
          <w:rPr>
            <w:noProof/>
          </w:rPr>
          <w:t>1</w:t>
        </w:r>
        <w:r w:rsidR="00A950A0">
          <w:rPr>
            <w:noProof/>
          </w:rPr>
          <w:fldChar w:fldCharType="end"/>
        </w:r>
      </w:sdtContent>
    </w:sdt>
  </w:p>
  <w:p w:rsidR="00C338F7" w:rsidRDefault="00C338F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50132"/>
    <w:rsid w:val="0012094A"/>
    <w:rsid w:val="00150EAA"/>
    <w:rsid w:val="001556A2"/>
    <w:rsid w:val="001B7DD0"/>
    <w:rsid w:val="00244D8B"/>
    <w:rsid w:val="0029493E"/>
    <w:rsid w:val="00295447"/>
    <w:rsid w:val="002A390D"/>
    <w:rsid w:val="002F53AB"/>
    <w:rsid w:val="00352F63"/>
    <w:rsid w:val="003C2EBC"/>
    <w:rsid w:val="00452964"/>
    <w:rsid w:val="0056496A"/>
    <w:rsid w:val="0058172C"/>
    <w:rsid w:val="005C27C9"/>
    <w:rsid w:val="005C6BE4"/>
    <w:rsid w:val="006579D4"/>
    <w:rsid w:val="006B4033"/>
    <w:rsid w:val="007234FE"/>
    <w:rsid w:val="00812C32"/>
    <w:rsid w:val="009405D3"/>
    <w:rsid w:val="009E4F2E"/>
    <w:rsid w:val="00A2132E"/>
    <w:rsid w:val="00A2393E"/>
    <w:rsid w:val="00A600E5"/>
    <w:rsid w:val="00A950A0"/>
    <w:rsid w:val="00AC5DAA"/>
    <w:rsid w:val="00AF0B20"/>
    <w:rsid w:val="00B5551A"/>
    <w:rsid w:val="00B729FC"/>
    <w:rsid w:val="00C338F7"/>
    <w:rsid w:val="00C41C74"/>
    <w:rsid w:val="00C87715"/>
    <w:rsid w:val="00C90ED2"/>
    <w:rsid w:val="00CB0EC7"/>
    <w:rsid w:val="00CF5DAE"/>
    <w:rsid w:val="00D41E2E"/>
    <w:rsid w:val="00E601FF"/>
    <w:rsid w:val="00E62431"/>
    <w:rsid w:val="00F50132"/>
    <w:rsid w:val="00FB2714"/>
    <w:rsid w:val="00FC54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ajorBidi"/>
        <w:bCs/>
        <w:iCs/>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E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38F7"/>
    <w:pPr>
      <w:tabs>
        <w:tab w:val="center" w:pos="4680"/>
        <w:tab w:val="right" w:pos="9360"/>
      </w:tabs>
      <w:spacing w:after="0"/>
    </w:pPr>
  </w:style>
  <w:style w:type="character" w:customStyle="1" w:styleId="HeaderChar">
    <w:name w:val="Header Char"/>
    <w:basedOn w:val="DefaultParagraphFont"/>
    <w:link w:val="Header"/>
    <w:uiPriority w:val="99"/>
    <w:rsid w:val="00C338F7"/>
  </w:style>
  <w:style w:type="paragraph" w:styleId="Footer">
    <w:name w:val="footer"/>
    <w:basedOn w:val="Normal"/>
    <w:link w:val="FooterChar"/>
    <w:uiPriority w:val="99"/>
    <w:semiHidden/>
    <w:unhideWhenUsed/>
    <w:rsid w:val="00C338F7"/>
    <w:pPr>
      <w:tabs>
        <w:tab w:val="center" w:pos="4680"/>
        <w:tab w:val="right" w:pos="9360"/>
      </w:tabs>
      <w:spacing w:after="0"/>
    </w:pPr>
  </w:style>
  <w:style w:type="character" w:customStyle="1" w:styleId="FooterChar">
    <w:name w:val="Footer Char"/>
    <w:basedOn w:val="DefaultParagraphFont"/>
    <w:link w:val="Footer"/>
    <w:uiPriority w:val="99"/>
    <w:semiHidden/>
    <w:rsid w:val="00C338F7"/>
  </w:style>
  <w:style w:type="paragraph" w:styleId="Bibliography">
    <w:name w:val="Bibliography"/>
    <w:basedOn w:val="Normal"/>
    <w:next w:val="Normal"/>
    <w:uiPriority w:val="37"/>
    <w:unhideWhenUsed/>
    <w:rsid w:val="002F53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20615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b:Source>
    <b:Tag>Jos73</b:Tag>
    <b:SourceType>Film</b:SourceType>
    <b:Guid>{6DCD4066-9C82-4B0B-99DE-62512C81C91F}</b:Guid>
    <b:Author>
      <b:Author>
        <b:NameList>
          <b:Person>
            <b:Last>Losey</b:Last>
            <b:First>Joseph.</b:First>
          </b:Person>
        </b:NameList>
      </b:Author>
      <b:Director>
        <b:NameList>
          <b:Person>
            <b:Last>Losey</b:Last>
            <b:First>Joseph</b:First>
          </b:Person>
        </b:NameList>
      </b:Director>
    </b:Author>
    <b:Title>A Doll's House based on Henrik Ibsen's Play, A Doll's House</b:Title>
    <b:Year>1973</b:Year>
    <b:RefOrder>1</b:RefOrder>
  </b:Source>
  <b:Source>
    <b:Tag>Gar73</b:Tag>
    <b:SourceType>Film</b:SourceType>
    <b:Guid>{8B399932-606D-4234-9F2D-18809CE999A0}</b:Guid>
    <b:Title>A Doll's House based on Henrik Ibsen's Play, A Doll's House</b:Title>
    <b:Author>
      <b:Director>
        <b:NameList>
          <b:Person>
            <b:Last>Garland</b:Last>
            <b:First>Patrick.</b:First>
          </b:Person>
        </b:NameList>
      </b:Director>
    </b:Author>
    <b:Year>1973</b:Year>
    <b:RefOrder>2</b:RefOrder>
  </b:Source>
  <b:Source>
    <b:Tag>Ibs07</b:Tag>
    <b:SourceType>Book</b:SourceType>
    <b:Guid>{EFA2D55C-47A2-4F19-9BD5-5C9FAE716186}</b:Guid>
    <b:Title>A Doll's House</b:Title>
    <b:Author>
      <b:Author>
        <b:NameList>
          <b:Person>
            <b:Last>Ibsen</b:Last>
            <b:First>Henrik.</b:First>
          </b:Person>
        </b:NameList>
      </b:Author>
    </b:Author>
    <b:Year>2007</b:Year>
    <b:City>Minneapolis</b:City>
    <b:Publisher>Filiquarin Publishing</b:Publisher>
    <b:RefOrder>3</b:RefOrder>
  </b:Source>
</b:Sources>
</file>

<file path=customXml/itemProps1.xml><?xml version="1.0" encoding="utf-8"?>
<ds:datastoreItem xmlns:ds="http://schemas.openxmlformats.org/officeDocument/2006/customXml" ds:itemID="{BF8736F8-C103-416A-8768-2D91C38D1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1138</Words>
  <Characters>6491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2019-12-18T07:38:00Z</dcterms:created>
  <dcterms:modified xsi:type="dcterms:W3CDTF">2019-12-18T07:38:00Z</dcterms:modified>
</cp:coreProperties>
</file>